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204.0" w:type="dxa"/>
        <w:jc w:val="left"/>
        <w:tblInd w:w="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3"/>
        <w:gridCol w:w="6901"/>
        <w:tblGridChange w:id="0">
          <w:tblGrid>
            <w:gridCol w:w="1303"/>
            <w:gridCol w:w="6901"/>
          </w:tblGrid>
        </w:tblGridChange>
      </w:tblGrid>
      <w:tr>
        <w:trPr>
          <w:cantSplit w:val="0"/>
          <w:tblHeader w:val="0"/>
        </w:trPr>
        <w:tc>
          <w:tcPr/>
          <w:p w:rsidR="00000000" w:rsidDel="00000000" w:rsidP="00000000" w:rsidRDefault="00000000" w:rsidRPr="00000000" w14:paraId="00000002">
            <w:pPr>
              <w:jc w:val="left"/>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-196847</wp:posOffset>
                  </wp:positionH>
                  <wp:positionV relativeFrom="paragraph">
                    <wp:posOffset>98425</wp:posOffset>
                  </wp:positionV>
                  <wp:extent cx="1062090" cy="832019"/>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62090" cy="832019"/>
                          </a:xfrm>
                          <a:prstGeom prst="rect"/>
                          <a:ln/>
                        </pic:spPr>
                      </pic:pic>
                    </a:graphicData>
                  </a:graphic>
                </wp:anchor>
              </w:drawing>
            </w:r>
          </w:p>
        </w:tc>
        <w:tc>
          <w:tcPr/>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Module Description/Course Syllabi</w:t>
            </w:r>
          </w:p>
          <w:p w:rsidR="00000000" w:rsidDel="00000000" w:rsidP="00000000" w:rsidRDefault="00000000" w:rsidRPr="00000000" w14:paraId="00000004">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Education Study Programme</w:t>
            </w:r>
          </w:p>
          <w:p w:rsidR="00000000" w:rsidDel="00000000" w:rsidP="00000000" w:rsidRDefault="00000000" w:rsidRPr="00000000" w14:paraId="0000000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of  Languages and Arts</w:t>
            </w:r>
          </w:p>
          <w:p w:rsidR="00000000" w:rsidDel="00000000" w:rsidP="00000000" w:rsidRDefault="00000000" w:rsidRPr="00000000" w14:paraId="00000007">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Universitas Negeri Manado</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8">
            <w:pPr>
              <w:numPr>
                <w:ilvl w:val="0"/>
                <w:numId w:val="7"/>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Course number and name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MB4232312 Writing Professional Purpose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C">
            <w:pPr>
              <w:numPr>
                <w:ilvl w:val="0"/>
                <w:numId w:val="7"/>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Credits and contact hours/Number of ECTS credits allocated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blHeader w:val="0"/>
        </w:trPr>
        <w:tc>
          <w:tcPr>
            <w:gridSpan w:val="2"/>
          </w:tcPr>
          <w:p w:rsidR="00000000" w:rsidDel="00000000" w:rsidP="00000000" w:rsidRDefault="00000000" w:rsidRPr="00000000" w14:paraId="00000010">
            <w:pPr>
              <w:numPr>
                <w:ilvl w:val="0"/>
                <w:numId w:val="7"/>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Instructor’s and course coordinator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Dr. Mister Gidion Maru, M.Hum</w:t>
            </w:r>
          </w:p>
          <w:p w:rsidR="00000000" w:rsidDel="00000000" w:rsidP="00000000" w:rsidRDefault="00000000" w:rsidRPr="00000000" w14:paraId="00000013">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I. Javier Tuerah, M.Pd</w:t>
            </w:r>
          </w:p>
          <w:p w:rsidR="00000000" w:rsidDel="00000000" w:rsidP="00000000" w:rsidRDefault="00000000" w:rsidRPr="00000000" w14:paraId="00000014">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Fergina Lengkoan, M.Pd.</w:t>
            </w:r>
          </w:p>
        </w:tc>
      </w:tr>
      <w:tr>
        <w:trPr>
          <w:cantSplit w:val="0"/>
          <w:tblHeader w:val="0"/>
        </w:trPr>
        <w:tc>
          <w:tcPr>
            <w:gridSpan w:val="2"/>
          </w:tcPr>
          <w:p w:rsidR="00000000" w:rsidDel="00000000" w:rsidP="00000000" w:rsidRDefault="00000000" w:rsidRPr="00000000" w14:paraId="00000016">
            <w:pPr>
              <w:numPr>
                <w:ilvl w:val="0"/>
                <w:numId w:val="7"/>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Text book, title, outhor, and year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8">
            <w:pPr>
              <w:widowControl w:val="1"/>
              <w:numPr>
                <w:ilvl w:val="0"/>
                <w:numId w:val="3"/>
              </w:numPr>
              <w:spacing w:line="259" w:lineRule="auto"/>
              <w:ind w:left="72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Stephen Bailey, (2018). A Practical Guide to Academic Writing for International Students.</w:t>
            </w:r>
            <w:r w:rsidDel="00000000" w:rsidR="00000000" w:rsidRPr="00000000">
              <w:rPr>
                <w:rtl w:val="0"/>
              </w:rPr>
            </w:r>
          </w:p>
          <w:p w:rsidR="00000000" w:rsidDel="00000000" w:rsidP="00000000" w:rsidRDefault="00000000" w:rsidRPr="00000000" w14:paraId="00000019">
            <w:pPr>
              <w:widowControl w:val="1"/>
              <w:numPr>
                <w:ilvl w:val="0"/>
                <w:numId w:val="3"/>
              </w:numPr>
              <w:spacing w:line="259" w:lineRule="auto"/>
              <w:ind w:left="72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Gina Vega, (2022). The Case Writing Workbook.</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B">
            <w:pPr>
              <w:numPr>
                <w:ilvl w:val="0"/>
                <w:numId w:val="7"/>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Other supplemental materials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D">
            <w:pPr>
              <w:widowControl w:val="1"/>
              <w:numPr>
                <w:ilvl w:val="0"/>
                <w:numId w:val="1"/>
              </w:numPr>
              <w:spacing w:line="259"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Williams Phil. (2018). Advanced Writing Skills for Students of English. Rumian Publishing.</w:t>
            </w:r>
          </w:p>
          <w:p w:rsidR="00000000" w:rsidDel="00000000" w:rsidP="00000000" w:rsidRDefault="00000000" w:rsidRPr="00000000" w14:paraId="0000001E">
            <w:pPr>
              <w:widowControl w:val="1"/>
              <w:numPr>
                <w:ilvl w:val="0"/>
                <w:numId w:val="1"/>
              </w:numPr>
              <w:spacing w:line="259"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S. (2007). </w:t>
            </w:r>
            <w:r w:rsidDel="00000000" w:rsidR="00000000" w:rsidRPr="00000000">
              <w:rPr>
                <w:rFonts w:ascii="Times New Roman" w:cs="Times New Roman" w:eastAsia="Times New Roman" w:hAnsi="Times New Roman"/>
                <w:i w:val="1"/>
                <w:sz w:val="24"/>
                <w:szCs w:val="24"/>
                <w:rtl w:val="0"/>
              </w:rPr>
              <w:t xml:space="preserve">Doing Creative Writing.</w:t>
            </w:r>
            <w:r w:rsidDel="00000000" w:rsidR="00000000" w:rsidRPr="00000000">
              <w:rPr>
                <w:rFonts w:ascii="Times New Roman" w:cs="Times New Roman" w:eastAsia="Times New Roman" w:hAnsi="Times New Roman"/>
                <w:sz w:val="24"/>
                <w:szCs w:val="24"/>
                <w:rtl w:val="0"/>
              </w:rPr>
              <w:t xml:space="preserve"> New York: Routledge.</w:t>
            </w:r>
          </w:p>
        </w:tc>
      </w:tr>
      <w:tr>
        <w:trPr>
          <w:cantSplit w:val="0"/>
          <w:tblHeader w:val="0"/>
        </w:trPr>
        <w:tc>
          <w:tcPr>
            <w:gridSpan w:val="2"/>
          </w:tcPr>
          <w:p w:rsidR="00000000" w:rsidDel="00000000" w:rsidP="00000000" w:rsidRDefault="00000000" w:rsidRPr="00000000" w14:paraId="00000020">
            <w:pPr>
              <w:numPr>
                <w:ilvl w:val="0"/>
                <w:numId w:val="7"/>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course information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2">
            <w:pPr>
              <w:numPr>
                <w:ilvl w:val="0"/>
                <w:numId w:val="2"/>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description of the content of the course (catalog description)</w:t>
            </w:r>
            <w:r w:rsidDel="00000000" w:rsidR="00000000" w:rsidRPr="00000000">
              <w:rPr>
                <w:rtl w:val="0"/>
              </w:rPr>
            </w:r>
          </w:p>
        </w:tc>
      </w:tr>
      <w:tr>
        <w:trPr>
          <w:cantSplit w:val="0"/>
          <w:tblHeader w:val="0"/>
        </w:trPr>
        <w:tc>
          <w:tcPr>
            <w:gridSpan w:val="2"/>
            <w:vAlign w:val="bottom"/>
          </w:tcPr>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This course focuses on persuasive and argumentative writing that includes essay organization, unity and coherence in an essay. Focus on the social purpose, generic structure, and lexical grammatical features of each text. This lecture activity is project-based learning in the form of discussions, writing activities, evaluation and peer editing. Product assessment is carried out through written argumentative texts, observation of performance developments during the process of working on projects and contributions during learning as well as attendance and activities in lectures.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6">
            <w:pPr>
              <w:numPr>
                <w:ilvl w:val="0"/>
                <w:numId w:val="2"/>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Prerequisites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8">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MB4232211 Writing for Academic Purpose</w:t>
            </w:r>
          </w:p>
        </w:tc>
      </w:tr>
      <w:tr>
        <w:trPr>
          <w:cantSplit w:val="0"/>
          <w:tblHeader w:val="0"/>
        </w:trPr>
        <w:tc>
          <w:tcPr>
            <w:gridSpan w:val="2"/>
          </w:tcPr>
          <w:p w:rsidR="00000000" w:rsidDel="00000000" w:rsidP="00000000" w:rsidRDefault="00000000" w:rsidRPr="00000000" w14:paraId="0000002A">
            <w:pPr>
              <w:numPr>
                <w:ilvl w:val="0"/>
                <w:numId w:val="2"/>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Indicate whether a required, elective, or selected elective course in the program</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C">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Required</w:t>
            </w:r>
          </w:p>
        </w:tc>
      </w:tr>
      <w:tr>
        <w:trPr>
          <w:cantSplit w:val="0"/>
          <w:tblHeader w:val="0"/>
        </w:trPr>
        <w:tc>
          <w:tcPr>
            <w:gridSpan w:val="2"/>
          </w:tcPr>
          <w:p w:rsidR="00000000" w:rsidDel="00000000" w:rsidP="00000000" w:rsidRDefault="00000000" w:rsidRPr="00000000" w14:paraId="0000002E">
            <w:pPr>
              <w:numPr>
                <w:ilvl w:val="0"/>
                <w:numId w:val="2"/>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Level of course unit (according to EQF: first cycle Bachelor, second cycle Master)</w:t>
            </w:r>
          </w:p>
        </w:tc>
      </w:tr>
      <w:tr>
        <w:trPr>
          <w:cantSplit w:val="0"/>
          <w:tblHeader w:val="0"/>
        </w:trPr>
        <w:tc>
          <w:tcPr>
            <w:gridSpan w:val="2"/>
          </w:tcPr>
          <w:p w:rsidR="00000000" w:rsidDel="00000000" w:rsidP="00000000" w:rsidRDefault="00000000" w:rsidRPr="00000000" w14:paraId="00000030">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cycle Bachelor</w:t>
            </w:r>
          </w:p>
        </w:tc>
      </w:tr>
      <w:tr>
        <w:trPr>
          <w:cantSplit w:val="0"/>
          <w:tblHeader w:val="0"/>
        </w:trPr>
        <w:tc>
          <w:tcPr>
            <w:gridSpan w:val="2"/>
          </w:tcPr>
          <w:p w:rsidR="00000000" w:rsidDel="00000000" w:rsidP="00000000" w:rsidRDefault="00000000" w:rsidRPr="00000000" w14:paraId="00000032">
            <w:pPr>
              <w:numPr>
                <w:ilvl w:val="0"/>
                <w:numId w:val="2"/>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Year of study when the course unit is delivered (if applicable)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4">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Third </w:t>
            </w:r>
          </w:p>
        </w:tc>
      </w:tr>
      <w:tr>
        <w:trPr>
          <w:cantSplit w:val="0"/>
          <w:tblHeader w:val="0"/>
        </w:trPr>
        <w:tc>
          <w:tcPr>
            <w:gridSpan w:val="2"/>
          </w:tcPr>
          <w:p w:rsidR="00000000" w:rsidDel="00000000" w:rsidP="00000000" w:rsidRDefault="00000000" w:rsidRPr="00000000" w14:paraId="00000036">
            <w:pPr>
              <w:numPr>
                <w:ilvl w:val="0"/>
                <w:numId w:val="2"/>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Semester/trimester when the course unit is delivered</w:t>
            </w:r>
          </w:p>
        </w:tc>
      </w:tr>
      <w:tr>
        <w:trPr>
          <w:cantSplit w:val="0"/>
          <w:tblHeader w:val="0"/>
        </w:trPr>
        <w:tc>
          <w:tcPr>
            <w:gridSpan w:val="2"/>
          </w:tcPr>
          <w:p w:rsidR="00000000" w:rsidDel="00000000" w:rsidP="00000000" w:rsidRDefault="00000000" w:rsidRPr="00000000" w14:paraId="00000038">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Third </w:t>
            </w:r>
          </w:p>
        </w:tc>
      </w:tr>
      <w:tr>
        <w:trPr>
          <w:cantSplit w:val="0"/>
          <w:tblHeader w:val="0"/>
        </w:trPr>
        <w:tc>
          <w:tcPr>
            <w:gridSpan w:val="2"/>
          </w:tcPr>
          <w:p w:rsidR="00000000" w:rsidDel="00000000" w:rsidP="00000000" w:rsidRDefault="00000000" w:rsidRPr="00000000" w14:paraId="0000003A">
            <w:pPr>
              <w:numPr>
                <w:ilvl w:val="0"/>
                <w:numId w:val="2"/>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Mode of delivery (face-to-face, distance learning)</w:t>
            </w:r>
          </w:p>
        </w:tc>
      </w:tr>
      <w:tr>
        <w:trPr>
          <w:cantSplit w:val="0"/>
          <w:tblHeader w:val="0"/>
        </w:trPr>
        <w:tc>
          <w:tcPr>
            <w:gridSpan w:val="2"/>
          </w:tcPr>
          <w:p w:rsidR="00000000" w:rsidDel="00000000" w:rsidP="00000000" w:rsidRDefault="00000000" w:rsidRPr="00000000" w14:paraId="0000003C">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Face to Face</w:t>
            </w:r>
          </w:p>
        </w:tc>
      </w:tr>
      <w:tr>
        <w:trPr>
          <w:cantSplit w:val="0"/>
          <w:tblHeader w:val="0"/>
        </w:trPr>
        <w:tc>
          <w:tcPr>
            <w:gridSpan w:val="2"/>
          </w:tcPr>
          <w:p w:rsidR="00000000" w:rsidDel="00000000" w:rsidP="00000000" w:rsidRDefault="00000000" w:rsidRPr="00000000" w14:paraId="0000003E">
            <w:pPr>
              <w:numPr>
                <w:ilvl w:val="0"/>
                <w:numId w:val="7"/>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outcomes of instruction,</w:t>
            </w:r>
            <w:r w:rsidDel="00000000" w:rsidR="00000000" w:rsidRPr="00000000">
              <w:rPr>
                <w:rFonts w:ascii="Times New Roman" w:cs="Times New Roman" w:eastAsia="Times New Roman" w:hAnsi="Times New Roman"/>
                <w:i w:val="1"/>
                <w:sz w:val="24"/>
                <w:szCs w:val="24"/>
                <w:rtl w:val="0"/>
              </w:rPr>
              <w:t xml:space="preserve"> ex. The student will be able to explain the significance of current research about a particular topic.</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0">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apply rules and techniques of writing. SO1-PI.1.2</w:t>
            </w:r>
          </w:p>
          <w:p w:rsidR="00000000" w:rsidDel="00000000" w:rsidP="00000000" w:rsidRDefault="00000000" w:rsidRPr="00000000" w14:paraId="00000041">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apply the use of technology in professional writing (Grammarly.com and editing tools) SO3, PI-3.2</w:t>
            </w:r>
          </w:p>
          <w:p w:rsidR="00000000" w:rsidDel="00000000" w:rsidP="00000000" w:rsidRDefault="00000000" w:rsidRPr="00000000" w14:paraId="00000042">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differentiate kinds of writing texts. SO6-PI-6.1, 6.2, 6.3</w:t>
            </w:r>
          </w:p>
          <w:p w:rsidR="00000000" w:rsidDel="00000000" w:rsidP="00000000" w:rsidRDefault="00000000" w:rsidRPr="00000000" w14:paraId="00000043">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evaluate their writing. SO6-PI.6.1, 6.2, 6.3</w:t>
            </w:r>
          </w:p>
          <w:p w:rsidR="00000000" w:rsidDel="00000000" w:rsidP="00000000" w:rsidRDefault="00000000" w:rsidRPr="00000000" w14:paraId="00000044">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compose various English text (Persuasive and argumentative writing). SO3. PI-3.2. SO6-PI.6.1, 6.2, 6.3.</w:t>
            </w:r>
          </w:p>
        </w:tc>
      </w:tr>
      <w:tr>
        <w:trPr>
          <w:cantSplit w:val="0"/>
          <w:tblHeader w:val="0"/>
        </w:trPr>
        <w:tc>
          <w:tcPr>
            <w:gridSpan w:val="2"/>
          </w:tcPr>
          <w:p w:rsidR="00000000" w:rsidDel="00000000" w:rsidP="00000000" w:rsidRDefault="00000000" w:rsidRPr="00000000" w14:paraId="00000046">
            <w:pPr>
              <w:numPr>
                <w:ilvl w:val="0"/>
                <w:numId w:val="7"/>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Explicitly indicate which of the student outcomes</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04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4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Applying the theoretical concepts of language and techniques of oral written communication in general and specific (general English and English for specific purposes) in everyday activities: general, academic, and work contexts. SO1</w:t>
              <w:br w:type="textWrapping"/>
              <w:t xml:space="preserve">-Applying the theoretical concepts of language and techniques for oral and written communication (English for specific purposes) in daily activities: general, academic, and work contexts. PI-1.2</w:t>
            </w:r>
          </w:p>
          <w:p w:rsidR="00000000" w:rsidDel="00000000" w:rsidP="00000000" w:rsidRDefault="00000000" w:rsidRPr="00000000" w14:paraId="0000004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45"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Communicating effectively with a diverse audience. SO3</w:t>
              <w:br w:type="textWrapping"/>
              <w:t xml:space="preserve">- Able to create texts for specific purposes in various contexts. PI-3.2</w:t>
            </w:r>
          </w:p>
          <w:p w:rsidR="00000000" w:rsidDel="00000000" w:rsidP="00000000" w:rsidRDefault="00000000" w:rsidRPr="00000000" w14:paraId="0000004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Evaluating and Creating Text. SO6</w:t>
              <w:br w:type="textWrapping"/>
              <w:t xml:space="preserve">- Able to formulate the structure of the target language and the source language. PI-6.1</w:t>
              <w:br w:type="textWrapping"/>
              <w:t xml:space="preserve">-Able to create and evaluate various English Texts. PI-6.2.</w:t>
              <w:br w:type="textWrapping"/>
              <w:t xml:space="preserve">-Able to perform translations from the source language to the target language or vice versa. PI-6.3.</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C">
            <w:pPr>
              <w:numPr>
                <w:ilvl w:val="0"/>
                <w:numId w:val="7"/>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list of topics to be covered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E">
            <w:pPr>
              <w:widowControl w:val="1"/>
              <w:numPr>
                <w:ilvl w:val="0"/>
                <w:numId w:val="8"/>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Procedure and material, definition of persuasive and argumentative text, and function/Purposes of persuasive and argumentative text</w:t>
            </w:r>
          </w:p>
          <w:p w:rsidR="00000000" w:rsidDel="00000000" w:rsidP="00000000" w:rsidRDefault="00000000" w:rsidRPr="00000000" w14:paraId="0000004F">
            <w:pPr>
              <w:widowControl w:val="1"/>
              <w:numPr>
                <w:ilvl w:val="0"/>
                <w:numId w:val="8"/>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use of persuasive text, the use of argumentative text, and example of business, tourism and journalism text</w:t>
            </w:r>
          </w:p>
          <w:p w:rsidR="00000000" w:rsidDel="00000000" w:rsidP="00000000" w:rsidRDefault="00000000" w:rsidRPr="00000000" w14:paraId="00000050">
            <w:pPr>
              <w:widowControl w:val="1"/>
              <w:numPr>
                <w:ilvl w:val="0"/>
                <w:numId w:val="8"/>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Preparation, writing process, editing, proofreading, and layouting</w:t>
            </w:r>
          </w:p>
          <w:p w:rsidR="00000000" w:rsidDel="00000000" w:rsidP="00000000" w:rsidRDefault="00000000" w:rsidRPr="00000000" w14:paraId="00000051">
            <w:pPr>
              <w:widowControl w:val="1"/>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Developing persuasive text for business (ads)</w:t>
            </w:r>
          </w:p>
          <w:p w:rsidR="00000000" w:rsidDel="00000000" w:rsidP="00000000" w:rsidRDefault="00000000" w:rsidRPr="00000000" w14:paraId="00000052">
            <w:pPr>
              <w:widowControl w:val="1"/>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Developing persuasive text for tourism (flier)</w:t>
            </w:r>
          </w:p>
          <w:p w:rsidR="00000000" w:rsidDel="00000000" w:rsidP="00000000" w:rsidRDefault="00000000" w:rsidRPr="00000000" w14:paraId="00000053">
            <w:pPr>
              <w:widowControl w:val="1"/>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Developing argumentative text for journalism (opinion/report)</w:t>
            </w:r>
          </w:p>
          <w:p w:rsidR="00000000" w:rsidDel="00000000" w:rsidP="00000000" w:rsidRDefault="00000000" w:rsidRPr="00000000" w14:paraId="00000054">
            <w:pPr>
              <w:widowControl w:val="1"/>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Grammar rules and vocabularies</w:t>
            </w:r>
          </w:p>
          <w:p w:rsidR="00000000" w:rsidDel="00000000" w:rsidP="00000000" w:rsidRDefault="00000000" w:rsidRPr="00000000" w14:paraId="00000055">
            <w:pPr>
              <w:widowControl w:val="1"/>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Producing argumentative and persuasive text</w:t>
            </w:r>
          </w:p>
          <w:p w:rsidR="00000000" w:rsidDel="00000000" w:rsidP="00000000" w:rsidRDefault="00000000" w:rsidRPr="00000000" w14:paraId="00000056">
            <w:pPr>
              <w:widowControl w:val="1"/>
              <w:ind w:left="720" w:firstLine="0"/>
              <w:jc w:val="left"/>
              <w:rPr>
                <w:rFonts w:ascii="Arial" w:cs="Arial" w:eastAsia="Arial" w:hAnsi="Arial"/>
                <w:sz w:val="16"/>
                <w:szCs w:val="16"/>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58">
            <w:pPr>
              <w:numPr>
                <w:ilvl w:val="0"/>
                <w:numId w:val="7"/>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Recommended or required reading and other learning resources/tools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5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8">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http://journal.asiatefl.org/</w:t>
              </w:r>
            </w:hyperlink>
            <w:r w:rsidDel="00000000" w:rsidR="00000000" w:rsidRPr="00000000">
              <w:rPr>
                <w:rtl w:val="0"/>
              </w:rPr>
            </w:r>
          </w:p>
          <w:p w:rsidR="00000000" w:rsidDel="00000000" w:rsidP="00000000" w:rsidRDefault="00000000" w:rsidRPr="00000000" w14:paraId="0000005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9">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https://www.youtube.com/watch?v=-3P2fVY9jjA</w:t>
              </w:r>
            </w:hyperlink>
            <w:r w:rsidDel="00000000" w:rsidR="00000000" w:rsidRPr="00000000">
              <w:rPr>
                <w:rtl w:val="0"/>
              </w:rPr>
            </w:r>
          </w:p>
          <w:p w:rsidR="00000000" w:rsidDel="00000000" w:rsidP="00000000" w:rsidRDefault="00000000" w:rsidRPr="00000000" w14:paraId="0000005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0">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https://www.youtube.com/watch?v=o9aVjBHEEbU</w:t>
              </w:r>
            </w:hyperlink>
            <w:r w:rsidDel="00000000" w:rsidR="00000000" w:rsidRPr="00000000">
              <w:rPr>
                <w:rtl w:val="0"/>
              </w:rPr>
            </w:r>
          </w:p>
          <w:p w:rsidR="00000000" w:rsidDel="00000000" w:rsidP="00000000" w:rsidRDefault="00000000" w:rsidRPr="00000000" w14:paraId="0000005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https://www.youtube.com/watch?v=wUNHjwWqQCU</w:t>
            </w:r>
          </w:p>
        </w:tc>
      </w:tr>
      <w:tr>
        <w:trPr>
          <w:cantSplit w:val="0"/>
          <w:tblHeader w:val="0"/>
        </w:trPr>
        <w:tc>
          <w:tcPr>
            <w:gridSpan w:val="2"/>
          </w:tcPr>
          <w:p w:rsidR="00000000" w:rsidDel="00000000" w:rsidP="00000000" w:rsidRDefault="00000000" w:rsidRPr="00000000" w14:paraId="0000005F">
            <w:pPr>
              <w:numPr>
                <w:ilvl w:val="0"/>
                <w:numId w:val="7"/>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Planned learning activities and teaching methods</w:t>
            </w:r>
          </w:p>
        </w:tc>
      </w:tr>
      <w:tr>
        <w:trPr>
          <w:cantSplit w:val="0"/>
          <w:tblHeader w:val="0"/>
        </w:trPr>
        <w:tc>
          <w:tcPr>
            <w:gridSpan w:val="2"/>
          </w:tcPr>
          <w:p w:rsidR="00000000" w:rsidDel="00000000" w:rsidP="00000000" w:rsidRDefault="00000000" w:rsidRPr="00000000" w14:paraId="00000061">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Small group discussion, PjBL, Case based Method</w:t>
            </w:r>
          </w:p>
        </w:tc>
      </w:tr>
      <w:tr>
        <w:trPr>
          <w:cantSplit w:val="0"/>
          <w:tblHeader w:val="0"/>
        </w:trPr>
        <w:tc>
          <w:tcPr>
            <w:gridSpan w:val="2"/>
          </w:tcPr>
          <w:p w:rsidR="00000000" w:rsidDel="00000000" w:rsidP="00000000" w:rsidRDefault="00000000" w:rsidRPr="00000000" w14:paraId="00000063">
            <w:pPr>
              <w:numPr>
                <w:ilvl w:val="0"/>
                <w:numId w:val="7"/>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Language of instruction</w:t>
            </w:r>
          </w:p>
        </w:tc>
      </w:tr>
      <w:tr>
        <w:trPr>
          <w:cantSplit w:val="0"/>
          <w:tblHeader w:val="0"/>
        </w:trPr>
        <w:tc>
          <w:tcPr>
            <w:gridSpan w:val="2"/>
          </w:tcPr>
          <w:p w:rsidR="00000000" w:rsidDel="00000000" w:rsidP="00000000" w:rsidRDefault="00000000" w:rsidRPr="00000000" w14:paraId="0000006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w:t>
            </w:r>
          </w:p>
        </w:tc>
      </w:tr>
      <w:tr>
        <w:trPr>
          <w:cantSplit w:val="0"/>
          <w:tblHeader w:val="0"/>
        </w:trPr>
        <w:tc>
          <w:tcPr>
            <w:gridSpan w:val="2"/>
          </w:tcPr>
          <w:p w:rsidR="00000000" w:rsidDel="00000000" w:rsidP="00000000" w:rsidRDefault="00000000" w:rsidRPr="00000000" w14:paraId="00000067">
            <w:pPr>
              <w:numPr>
                <w:ilvl w:val="0"/>
                <w:numId w:val="7"/>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Assessment methods and criteria</w:t>
            </w:r>
          </w:p>
        </w:tc>
      </w:tr>
      <w:tr>
        <w:trPr>
          <w:cantSplit w:val="0"/>
          <w:tblHeader w:val="0"/>
        </w:trPr>
        <w:tc>
          <w:tcPr>
            <w:gridSpan w:val="2"/>
          </w:tcPr>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Performance Assessment:</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Participation and activities in the learning process (attendance, lectures and practices) 30%</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Completion of tasks 30%</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Mid Term 20%</w:t>
            </w:r>
          </w:p>
          <w:p w:rsidR="00000000" w:rsidDel="00000000" w:rsidP="00000000" w:rsidRDefault="00000000" w:rsidRPr="00000000" w14:paraId="0000006D">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4.</w:t>
              <w:tab/>
              <w:t xml:space="preserve">Final Term 20%</w:t>
            </w:r>
            <w:r w:rsidDel="00000000" w:rsidR="00000000" w:rsidRPr="00000000">
              <w:rPr>
                <w:rtl w:val="0"/>
              </w:rPr>
            </w:r>
          </w:p>
        </w:tc>
      </w:tr>
    </w:tbl>
    <w:p w:rsidR="00000000" w:rsidDel="00000000" w:rsidP="00000000" w:rsidRDefault="00000000" w:rsidRPr="00000000" w14:paraId="0000006F">
      <w:pPr>
        <w:jc w:val="center"/>
        <w:rPr>
          <w:rFonts w:ascii="Times New Roman" w:cs="Times New Roman" w:eastAsia="Times New Roman" w:hAnsi="Times New Roman"/>
          <w:b w:val="1"/>
          <w:sz w:val="24"/>
          <w:szCs w:val="24"/>
        </w:rPr>
      </w:pPr>
      <w:r w:rsidDel="00000000" w:rsidR="00000000" w:rsidRPr="00000000">
        <w:rPr>
          <w:rtl w:val="0"/>
        </w:rPr>
      </w:r>
    </w:p>
    <w:sectPr>
      <w:pgSz w:h="16838" w:w="11906"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0" w:firstLine="0"/>
      </w:pPr>
      <w:rPr>
        <w:b w:val="1"/>
        <w:i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720" w:hanging="36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0" w:firstLine="0"/>
      </w:pPr>
      <w:rPr>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heme="minorHAnsi" w:cstheme="minorBidi" w:eastAsiaTheme="minorEastAsia" w:hAnsiTheme="minorHAnsi"/>
      <w:lang w:eastAsia="zh-CN"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qFormat w:val="1"/>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link w:val="ListParagraphChar"/>
    <w:uiPriority w:val="34"/>
    <w:qFormat w:val="1"/>
    <w:rsid w:val="00037F5F"/>
    <w:pPr>
      <w:ind w:left="720"/>
      <w:contextualSpacing w:val="1"/>
    </w:pPr>
    <w:rPr>
      <w:rFonts w:eastAsiaTheme="minorHAnsi"/>
      <w:sz w:val="24"/>
      <w:szCs w:val="24"/>
      <w:lang w:eastAsia="en-US"/>
    </w:rPr>
  </w:style>
  <w:style w:type="character" w:styleId="ListParagraphChar" w:customStyle="1">
    <w:name w:val="List Paragraph Char"/>
    <w:link w:val="ListParagraph"/>
    <w:uiPriority w:val="34"/>
    <w:rsid w:val="00037F5F"/>
    <w:rPr>
      <w:rFonts w:asciiTheme="minorHAnsi" w:cstheme="minorBidi" w:eastAsiaTheme="minorHAnsi" w:hAnsiTheme="minorHAnsi"/>
      <w:sz w:val="24"/>
      <w:szCs w:val="24"/>
      <w:lang w:eastAsia="en-US" w:val="en-US"/>
    </w:rPr>
  </w:style>
  <w:style w:type="character" w:styleId="Hyperlink">
    <w:name w:val="Hyperlink"/>
    <w:basedOn w:val="DefaultParagraphFont"/>
    <w:uiPriority w:val="99"/>
    <w:unhideWhenUsed w:val="1"/>
    <w:rsid w:val="00183451"/>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youtube.com/watch?v=o9aVjBHEEbU" TargetMode="External"/><Relationship Id="rId9" Type="http://schemas.openxmlformats.org/officeDocument/2006/relationships/hyperlink" Target="https://www.youtube.com/watch?v=-3P2fVY9jj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journal.asiatefl.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R1jxk9H07X8chKQb4jP5tV+LvA==">CgMxLjA4AHIhMXBVcm5Mb2pmRUEzelprU3N6MFZHbXBVTkl1SVo2Tjho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2022-09-08T06:23:00Z</dcterms:created>
  <dc:creator>HP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5641024F96F24BB4B8C659C0C0378EA8</vt:lpwstr>
  </property>
</Properties>
</file>